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F99" w:rsidRDefault="00E37595" w:rsidP="00E37595">
      <w:pPr>
        <w:pStyle w:val="Title"/>
        <w:jc w:val="center"/>
      </w:pPr>
      <w:r>
        <w:t>Tickets Daddy – Taxes and Fees</w:t>
      </w:r>
    </w:p>
    <w:p w:rsidR="00EB7F99" w:rsidRDefault="00EB7F99" w:rsidP="00EB7F99"/>
    <w:p w:rsidR="00270864" w:rsidRDefault="00EB7F99" w:rsidP="00EB7F99">
      <w:pPr>
        <w:pStyle w:val="Heading1"/>
      </w:pPr>
      <w:r>
        <w:t>Government Taxes and Fees*</w:t>
      </w:r>
    </w:p>
    <w:p w:rsidR="00EB7F99" w:rsidRDefault="00EB7F99" w:rsidP="00EB7F99">
      <w:pPr>
        <w:tabs>
          <w:tab w:val="left" w:pos="1046"/>
        </w:tabs>
        <w:rPr>
          <w:b/>
        </w:rPr>
      </w:pPr>
      <w:r w:rsidRPr="00EB7F99">
        <w:rPr>
          <w:b/>
        </w:rPr>
        <w:t>*As per US government tax laws and regulations</w:t>
      </w:r>
    </w:p>
    <w:tbl>
      <w:tblPr>
        <w:tblStyle w:val="LightShading-Accent5"/>
        <w:tblW w:w="0" w:type="auto"/>
        <w:tblLook w:val="04A0"/>
      </w:tblPr>
      <w:tblGrid>
        <w:gridCol w:w="9576"/>
      </w:tblGrid>
      <w:tr w:rsidR="003B19F9" w:rsidRPr="003B19F9" w:rsidTr="003B19F9">
        <w:trPr>
          <w:cnfStyle w:val="100000000000"/>
        </w:trPr>
        <w:tc>
          <w:tcPr>
            <w:cnfStyle w:val="001000000000"/>
            <w:tcW w:w="9576" w:type="dxa"/>
          </w:tcPr>
          <w:p w:rsidR="003B19F9" w:rsidRPr="003B19F9" w:rsidRDefault="003B19F9" w:rsidP="009575DE">
            <w:pPr>
              <w:tabs>
                <w:tab w:val="left" w:pos="1046"/>
              </w:tabs>
              <w:rPr>
                <w:b w:val="0"/>
              </w:rPr>
            </w:pPr>
            <w:r w:rsidRPr="003B19F9">
              <w:t>Tax for Traveling Facilities</w:t>
            </w:r>
            <w:r>
              <w:t xml:space="preserve">                                            May be applicable to </w:t>
            </w:r>
          </w:p>
        </w:tc>
      </w:tr>
      <w:tr w:rsidR="003B19F9" w:rsidRPr="003B19F9" w:rsidTr="003B19F9">
        <w:trPr>
          <w:cnfStyle w:val="000000100000"/>
        </w:trPr>
        <w:tc>
          <w:tcPr>
            <w:cnfStyle w:val="001000000000"/>
            <w:tcW w:w="9576" w:type="dxa"/>
          </w:tcPr>
          <w:p w:rsidR="003B19F9" w:rsidRPr="003B19F9" w:rsidRDefault="003B19F9" w:rsidP="009575DE">
            <w:pPr>
              <w:tabs>
                <w:tab w:val="left" w:pos="1046"/>
              </w:tabs>
              <w:rPr>
                <w:b w:val="0"/>
              </w:rPr>
            </w:pPr>
            <w:r w:rsidRPr="003B19F9">
              <w:t>Fee of U.S. Federal Segment</w:t>
            </w:r>
            <w:r>
              <w:t xml:space="preserve">                                         U.S. Local and International</w:t>
            </w:r>
          </w:p>
        </w:tc>
      </w:tr>
      <w:tr w:rsidR="003B19F9" w:rsidRPr="003B19F9" w:rsidTr="003B19F9">
        <w:tc>
          <w:tcPr>
            <w:cnfStyle w:val="001000000000"/>
            <w:tcW w:w="9576" w:type="dxa"/>
          </w:tcPr>
          <w:p w:rsidR="003B19F9" w:rsidRPr="003B19F9" w:rsidRDefault="003B19F9" w:rsidP="009575DE">
            <w:pPr>
              <w:tabs>
                <w:tab w:val="left" w:pos="1046"/>
              </w:tabs>
              <w:rPr>
                <w:b w:val="0"/>
              </w:rPr>
            </w:pPr>
            <w:r w:rsidRPr="003B19F9">
              <w:t>Excise Tax of U.S.</w:t>
            </w:r>
            <w:r>
              <w:t xml:space="preserve">                                                             U.S. Local and International</w:t>
            </w:r>
          </w:p>
        </w:tc>
      </w:tr>
      <w:tr w:rsidR="003B19F9" w:rsidRPr="003B19F9" w:rsidTr="003B19F9">
        <w:trPr>
          <w:cnfStyle w:val="000000100000"/>
        </w:trPr>
        <w:tc>
          <w:tcPr>
            <w:cnfStyle w:val="001000000000"/>
            <w:tcW w:w="9576" w:type="dxa"/>
          </w:tcPr>
          <w:p w:rsidR="003B19F9" w:rsidRPr="003B19F9" w:rsidRDefault="003B19F9" w:rsidP="009575DE">
            <w:pPr>
              <w:tabs>
                <w:tab w:val="left" w:pos="1046"/>
              </w:tabs>
              <w:rPr>
                <w:b w:val="0"/>
              </w:rPr>
            </w:pPr>
            <w:r w:rsidRPr="003B19F9">
              <w:t>Charges for Passenger Facilities</w:t>
            </w:r>
            <w:r>
              <w:t xml:space="preserve">                                   U.S. Local and International</w:t>
            </w:r>
          </w:p>
        </w:tc>
      </w:tr>
      <w:tr w:rsidR="003B19F9" w:rsidRPr="003B19F9" w:rsidTr="003B19F9">
        <w:tc>
          <w:tcPr>
            <w:cnfStyle w:val="001000000000"/>
            <w:tcW w:w="9576" w:type="dxa"/>
          </w:tcPr>
          <w:p w:rsidR="003B19F9" w:rsidRPr="003B19F9" w:rsidRDefault="003B19F9" w:rsidP="009575DE">
            <w:pPr>
              <w:tabs>
                <w:tab w:val="left" w:pos="1046"/>
              </w:tabs>
              <w:rPr>
                <w:b w:val="0"/>
              </w:rPr>
            </w:pPr>
            <w:r w:rsidRPr="003B19F9">
              <w:t>Security for September 11</w:t>
            </w:r>
            <w:r w:rsidRPr="003B19F9">
              <w:rPr>
                <w:vertAlign w:val="superscript"/>
              </w:rPr>
              <w:t>th</w:t>
            </w:r>
            <w:r w:rsidRPr="003B19F9">
              <w:t xml:space="preserve"> </w:t>
            </w:r>
            <w:r>
              <w:t xml:space="preserve">                                         U.S. Local and International</w:t>
            </w:r>
          </w:p>
        </w:tc>
      </w:tr>
      <w:tr w:rsidR="003B19F9" w:rsidRPr="003B19F9" w:rsidTr="003B19F9">
        <w:trPr>
          <w:cnfStyle w:val="000000100000"/>
        </w:trPr>
        <w:tc>
          <w:tcPr>
            <w:cnfStyle w:val="001000000000"/>
            <w:tcW w:w="9576" w:type="dxa"/>
          </w:tcPr>
          <w:p w:rsidR="003B19F9" w:rsidRPr="003B19F9" w:rsidRDefault="003B19F9" w:rsidP="009575DE">
            <w:pPr>
              <w:tabs>
                <w:tab w:val="left" w:pos="1046"/>
              </w:tabs>
              <w:rPr>
                <w:b w:val="0"/>
              </w:rPr>
            </w:pPr>
            <w:r w:rsidRPr="003B19F9">
              <w:t>International Transportation Tax of US</w:t>
            </w:r>
            <w:r>
              <w:t xml:space="preserve">                      U.S. Local and International</w:t>
            </w:r>
          </w:p>
        </w:tc>
      </w:tr>
      <w:tr w:rsidR="003B19F9" w:rsidRPr="003B19F9" w:rsidTr="003B19F9">
        <w:tc>
          <w:tcPr>
            <w:cnfStyle w:val="001000000000"/>
            <w:tcW w:w="9576" w:type="dxa"/>
          </w:tcPr>
          <w:p w:rsidR="003B19F9" w:rsidRPr="003B19F9" w:rsidRDefault="003B19F9" w:rsidP="009575DE">
            <w:pPr>
              <w:tabs>
                <w:tab w:val="left" w:pos="1046"/>
              </w:tabs>
              <w:rPr>
                <w:b w:val="0"/>
              </w:rPr>
            </w:pPr>
            <w:r w:rsidRPr="003B19F9">
              <w:t>Fee for U.S. Animal and Plant Health Inspection Service</w:t>
            </w:r>
            <w:r>
              <w:t xml:space="preserve">                 international</w:t>
            </w:r>
          </w:p>
        </w:tc>
      </w:tr>
      <w:tr w:rsidR="003B19F9" w:rsidRPr="003B19F9" w:rsidTr="003B19F9">
        <w:trPr>
          <w:cnfStyle w:val="000000100000"/>
        </w:trPr>
        <w:tc>
          <w:tcPr>
            <w:cnfStyle w:val="001000000000"/>
            <w:tcW w:w="9576" w:type="dxa"/>
          </w:tcPr>
          <w:p w:rsidR="003B19F9" w:rsidRPr="003B19F9" w:rsidRDefault="003B19F9" w:rsidP="009575DE">
            <w:pPr>
              <w:tabs>
                <w:tab w:val="left" w:pos="1046"/>
              </w:tabs>
              <w:rPr>
                <w:b w:val="0"/>
              </w:rPr>
            </w:pPr>
            <w:r w:rsidRPr="003B19F9">
              <w:t xml:space="preserve">Fees for U.S. Immigration and Naturalization </w:t>
            </w:r>
            <w:r>
              <w:t xml:space="preserve">                             international</w:t>
            </w:r>
          </w:p>
        </w:tc>
      </w:tr>
      <w:tr w:rsidR="003B19F9" w:rsidRPr="003B19F9" w:rsidTr="003B19F9">
        <w:tc>
          <w:tcPr>
            <w:cnfStyle w:val="001000000000"/>
            <w:tcW w:w="9576" w:type="dxa"/>
          </w:tcPr>
          <w:p w:rsidR="003B19F9" w:rsidRPr="003B19F9" w:rsidRDefault="003B19F9" w:rsidP="009575DE">
            <w:pPr>
              <w:tabs>
                <w:tab w:val="left" w:pos="1046"/>
              </w:tabs>
              <w:rPr>
                <w:b w:val="0"/>
              </w:rPr>
            </w:pPr>
            <w:r w:rsidRPr="003B19F9">
              <w:t>Fee for U.S. Customs Users</w:t>
            </w:r>
            <w:r>
              <w:t xml:space="preserve">                                                       international</w:t>
            </w:r>
          </w:p>
        </w:tc>
      </w:tr>
      <w:tr w:rsidR="003B19F9" w:rsidRPr="003B19F9" w:rsidTr="003B19F9">
        <w:trPr>
          <w:cnfStyle w:val="000000100000"/>
        </w:trPr>
        <w:tc>
          <w:tcPr>
            <w:cnfStyle w:val="001000000000"/>
            <w:tcW w:w="9576" w:type="dxa"/>
          </w:tcPr>
          <w:p w:rsidR="003B19F9" w:rsidRPr="003B19F9" w:rsidRDefault="003B19F9" w:rsidP="009575DE">
            <w:pPr>
              <w:tabs>
                <w:tab w:val="left" w:pos="1046"/>
              </w:tabs>
              <w:rPr>
                <w:b w:val="0"/>
              </w:rPr>
            </w:pPr>
            <w:r w:rsidRPr="003B19F9">
              <w:t>International Government Taxes or Fees Imposed by Air port</w:t>
            </w:r>
            <w:r>
              <w:t xml:space="preserve">       international</w:t>
            </w:r>
          </w:p>
        </w:tc>
      </w:tr>
    </w:tbl>
    <w:p w:rsidR="00EB7F99" w:rsidRDefault="00EB7F99" w:rsidP="00EB7F99">
      <w:pPr>
        <w:pStyle w:val="Heading1"/>
      </w:pPr>
      <w:r>
        <w:t xml:space="preserve">Our Charges </w:t>
      </w:r>
    </w:p>
    <w:tbl>
      <w:tblPr>
        <w:tblStyle w:val="LightShading-Accent5"/>
        <w:tblW w:w="0" w:type="auto"/>
        <w:tblLook w:val="04A0"/>
      </w:tblPr>
      <w:tblGrid>
        <w:gridCol w:w="3192"/>
        <w:gridCol w:w="3192"/>
        <w:gridCol w:w="3192"/>
      </w:tblGrid>
      <w:tr w:rsidR="003B19F9" w:rsidTr="003B19F9">
        <w:trPr>
          <w:cnfStyle w:val="100000000000"/>
        </w:trPr>
        <w:tc>
          <w:tcPr>
            <w:cnfStyle w:val="001000000000"/>
            <w:tcW w:w="3192" w:type="dxa"/>
          </w:tcPr>
          <w:p w:rsidR="003B19F9" w:rsidRDefault="003B19F9" w:rsidP="00EB7F99">
            <w:pPr>
              <w:tabs>
                <w:tab w:val="left" w:pos="1046"/>
              </w:tabs>
              <w:rPr>
                <w:b w:val="0"/>
              </w:rPr>
            </w:pPr>
            <w:r>
              <w:rPr>
                <w:b w:val="0"/>
              </w:rPr>
              <w:t>Type of Charges</w:t>
            </w:r>
          </w:p>
        </w:tc>
        <w:tc>
          <w:tcPr>
            <w:tcW w:w="3192" w:type="dxa"/>
          </w:tcPr>
          <w:p w:rsidR="003B19F9" w:rsidRDefault="003B19F9" w:rsidP="00EB7F99">
            <w:pPr>
              <w:tabs>
                <w:tab w:val="left" w:pos="1046"/>
              </w:tabs>
              <w:cnfStyle w:val="100000000000"/>
              <w:rPr>
                <w:b w:val="0"/>
              </w:rPr>
            </w:pPr>
            <w:r>
              <w:rPr>
                <w:b w:val="0"/>
              </w:rPr>
              <w:t xml:space="preserve">May be applicable to </w:t>
            </w:r>
          </w:p>
        </w:tc>
        <w:tc>
          <w:tcPr>
            <w:tcW w:w="3192" w:type="dxa"/>
          </w:tcPr>
          <w:p w:rsidR="003B19F9" w:rsidRDefault="003B19F9" w:rsidP="00EB7F99">
            <w:pPr>
              <w:tabs>
                <w:tab w:val="left" w:pos="1046"/>
              </w:tabs>
              <w:cnfStyle w:val="100000000000"/>
              <w:rPr>
                <w:b w:val="0"/>
              </w:rPr>
            </w:pPr>
          </w:p>
        </w:tc>
      </w:tr>
      <w:tr w:rsidR="00EB7F99" w:rsidTr="003B19F9">
        <w:trPr>
          <w:cnfStyle w:val="000000100000"/>
        </w:trPr>
        <w:tc>
          <w:tcPr>
            <w:cnfStyle w:val="001000000000"/>
            <w:tcW w:w="3192" w:type="dxa"/>
          </w:tcPr>
          <w:p w:rsidR="00EB7F99" w:rsidRDefault="00EB7F99" w:rsidP="00EB7F99">
            <w:pPr>
              <w:tabs>
                <w:tab w:val="left" w:pos="1046"/>
              </w:tabs>
              <w:rPr>
                <w:b w:val="0"/>
              </w:rPr>
            </w:pPr>
            <w:r>
              <w:rPr>
                <w:b w:val="0"/>
              </w:rPr>
              <w:t>Fees for Air Transactions Services</w:t>
            </w:r>
          </w:p>
        </w:tc>
        <w:tc>
          <w:tcPr>
            <w:tcW w:w="3192" w:type="dxa"/>
          </w:tcPr>
          <w:p w:rsidR="00EB7F99" w:rsidRDefault="003B19F9" w:rsidP="00EB7F99">
            <w:pPr>
              <w:tabs>
                <w:tab w:val="left" w:pos="1046"/>
              </w:tabs>
              <w:cnfStyle w:val="000000100000"/>
              <w:rPr>
                <w:b/>
              </w:rPr>
            </w:pPr>
            <w:r>
              <w:rPr>
                <w:b/>
              </w:rPr>
              <w:t>U.S. Local and International</w:t>
            </w:r>
          </w:p>
        </w:tc>
        <w:tc>
          <w:tcPr>
            <w:tcW w:w="3192" w:type="dxa"/>
          </w:tcPr>
          <w:p w:rsidR="00EB7F99" w:rsidRDefault="00EB7F99" w:rsidP="00EB7F99">
            <w:pPr>
              <w:tabs>
                <w:tab w:val="left" w:pos="1046"/>
              </w:tabs>
              <w:cnfStyle w:val="000000100000"/>
              <w:rPr>
                <w:b/>
              </w:rPr>
            </w:pPr>
          </w:p>
        </w:tc>
      </w:tr>
      <w:tr w:rsidR="00EB7F99" w:rsidTr="003B19F9">
        <w:tc>
          <w:tcPr>
            <w:cnfStyle w:val="001000000000"/>
            <w:tcW w:w="3192" w:type="dxa"/>
          </w:tcPr>
          <w:p w:rsidR="00EB7F99" w:rsidRDefault="00EB7F99" w:rsidP="00EB7F99">
            <w:pPr>
              <w:tabs>
                <w:tab w:val="left" w:pos="1046"/>
              </w:tabs>
              <w:rPr>
                <w:b w:val="0"/>
              </w:rPr>
            </w:pPr>
            <w:r>
              <w:rPr>
                <w:b w:val="0"/>
              </w:rPr>
              <w:t>Charges for Hotel Transaction Service</w:t>
            </w:r>
          </w:p>
        </w:tc>
        <w:tc>
          <w:tcPr>
            <w:tcW w:w="3192" w:type="dxa"/>
          </w:tcPr>
          <w:p w:rsidR="00EB7F99" w:rsidRDefault="003B19F9" w:rsidP="00EB7F99">
            <w:pPr>
              <w:tabs>
                <w:tab w:val="left" w:pos="1046"/>
              </w:tabs>
              <w:cnfStyle w:val="000000000000"/>
              <w:rPr>
                <w:b/>
              </w:rPr>
            </w:pPr>
            <w:r>
              <w:rPr>
                <w:b/>
              </w:rPr>
              <w:t>All Hotels</w:t>
            </w:r>
          </w:p>
        </w:tc>
        <w:tc>
          <w:tcPr>
            <w:tcW w:w="3192" w:type="dxa"/>
          </w:tcPr>
          <w:p w:rsidR="00EB7F99" w:rsidRDefault="00EB7F99" w:rsidP="00EB7F99">
            <w:pPr>
              <w:tabs>
                <w:tab w:val="left" w:pos="1046"/>
              </w:tabs>
              <w:cnfStyle w:val="000000000000"/>
              <w:rPr>
                <w:b/>
              </w:rPr>
            </w:pPr>
          </w:p>
        </w:tc>
      </w:tr>
      <w:tr w:rsidR="00EB7F99" w:rsidTr="003B19F9">
        <w:trPr>
          <w:cnfStyle w:val="000000100000"/>
        </w:trPr>
        <w:tc>
          <w:tcPr>
            <w:cnfStyle w:val="001000000000"/>
            <w:tcW w:w="3192" w:type="dxa"/>
          </w:tcPr>
          <w:p w:rsidR="00EB7F99" w:rsidRDefault="00EB7F99" w:rsidP="00EB7F99">
            <w:pPr>
              <w:tabs>
                <w:tab w:val="left" w:pos="1046"/>
              </w:tabs>
              <w:rPr>
                <w:b w:val="0"/>
              </w:rPr>
            </w:pPr>
            <w:r>
              <w:rPr>
                <w:b w:val="0"/>
              </w:rPr>
              <w:t xml:space="preserve">Charges for Car Rental Transaction service </w:t>
            </w:r>
          </w:p>
        </w:tc>
        <w:tc>
          <w:tcPr>
            <w:tcW w:w="3192" w:type="dxa"/>
          </w:tcPr>
          <w:p w:rsidR="00EB7F99" w:rsidRDefault="003B19F9" w:rsidP="00EB7F99">
            <w:pPr>
              <w:tabs>
                <w:tab w:val="left" w:pos="1046"/>
              </w:tabs>
              <w:cnfStyle w:val="000000100000"/>
              <w:rPr>
                <w:b/>
              </w:rPr>
            </w:pPr>
            <w:r>
              <w:rPr>
                <w:b/>
              </w:rPr>
              <w:t xml:space="preserve">All types of car rentals </w:t>
            </w:r>
          </w:p>
        </w:tc>
        <w:tc>
          <w:tcPr>
            <w:tcW w:w="3192" w:type="dxa"/>
          </w:tcPr>
          <w:p w:rsidR="00EB7F99" w:rsidRDefault="00EB7F99" w:rsidP="00EB7F99">
            <w:pPr>
              <w:tabs>
                <w:tab w:val="left" w:pos="1046"/>
              </w:tabs>
              <w:cnfStyle w:val="000000100000"/>
              <w:rPr>
                <w:b/>
              </w:rPr>
            </w:pPr>
          </w:p>
        </w:tc>
      </w:tr>
    </w:tbl>
    <w:p w:rsidR="003B19F9" w:rsidRDefault="003B19F9" w:rsidP="00EB7F99">
      <w:pPr>
        <w:tabs>
          <w:tab w:val="left" w:pos="1046"/>
        </w:tabs>
        <w:rPr>
          <w:b/>
        </w:rPr>
      </w:pPr>
    </w:p>
    <w:p w:rsidR="003B19F9" w:rsidRPr="003B19F9" w:rsidRDefault="003B19F9" w:rsidP="00EB7F99">
      <w:pPr>
        <w:tabs>
          <w:tab w:val="left" w:pos="1046"/>
        </w:tabs>
        <w:rPr>
          <w:b/>
          <w:sz w:val="24"/>
          <w:szCs w:val="24"/>
        </w:rPr>
      </w:pPr>
      <w:r w:rsidRPr="003B19F9">
        <w:rPr>
          <w:b/>
          <w:sz w:val="24"/>
          <w:szCs w:val="24"/>
        </w:rPr>
        <w:t xml:space="preserve">*You can convert our fees and charges in your local currency </w:t>
      </w:r>
      <w:r>
        <w:rPr>
          <w:b/>
          <w:sz w:val="24"/>
          <w:szCs w:val="24"/>
        </w:rPr>
        <w:t>when you visit</w:t>
      </w:r>
      <w:r w:rsidRPr="003B19F9">
        <w:rPr>
          <w:b/>
          <w:sz w:val="24"/>
          <w:szCs w:val="24"/>
        </w:rPr>
        <w:t xml:space="preserve"> our payment page.</w:t>
      </w:r>
    </w:p>
    <w:p w:rsidR="003B19F9" w:rsidRPr="003B19F9" w:rsidRDefault="003B19F9" w:rsidP="003B19F9">
      <w:pPr>
        <w:pStyle w:val="Heading2"/>
      </w:pPr>
      <w:r w:rsidRPr="003B19F9">
        <w:t>** Types of passengers</w:t>
      </w:r>
    </w:p>
    <w:p w:rsidR="00044AE4" w:rsidRDefault="003B19F9" w:rsidP="00044AE4">
      <w:pPr>
        <w:spacing w:after="0" w:line="240" w:lineRule="auto"/>
        <w:rPr>
          <w:rStyle w:val="Heading2Char"/>
        </w:rPr>
      </w:pPr>
      <w:r w:rsidRPr="003B19F9">
        <w:rPr>
          <w:sz w:val="24"/>
          <w:szCs w:val="24"/>
        </w:rPr>
        <w:t xml:space="preserve"> Adults</w:t>
      </w:r>
      <w:r>
        <w:rPr>
          <w:sz w:val="24"/>
          <w:szCs w:val="24"/>
        </w:rPr>
        <w:t>,</w:t>
      </w:r>
      <w:r w:rsidR="00044AE4">
        <w:rPr>
          <w:sz w:val="24"/>
          <w:szCs w:val="24"/>
        </w:rPr>
        <w:t xml:space="preserve"> </w:t>
      </w:r>
      <w:r w:rsidRPr="003B19F9">
        <w:rPr>
          <w:sz w:val="24"/>
          <w:szCs w:val="24"/>
        </w:rPr>
        <w:t>children</w:t>
      </w:r>
      <w:r>
        <w:rPr>
          <w:sz w:val="24"/>
          <w:szCs w:val="24"/>
        </w:rPr>
        <w:t>,</w:t>
      </w:r>
      <w:r w:rsidR="00044AE4">
        <w:rPr>
          <w:sz w:val="24"/>
          <w:szCs w:val="24"/>
        </w:rPr>
        <w:t xml:space="preserve"> </w:t>
      </w:r>
      <w:r w:rsidRPr="003B19F9">
        <w:rPr>
          <w:sz w:val="24"/>
          <w:szCs w:val="24"/>
        </w:rPr>
        <w:t>senior</w:t>
      </w:r>
      <w:r>
        <w:rPr>
          <w:sz w:val="24"/>
          <w:szCs w:val="24"/>
        </w:rPr>
        <w:t xml:space="preserve"> </w:t>
      </w:r>
      <w:r w:rsidRPr="003B19F9">
        <w:rPr>
          <w:sz w:val="24"/>
          <w:szCs w:val="24"/>
        </w:rPr>
        <w:t>citizens</w:t>
      </w:r>
      <w:r>
        <w:rPr>
          <w:sz w:val="24"/>
          <w:szCs w:val="24"/>
        </w:rPr>
        <w:t>,</w:t>
      </w:r>
      <w:r w:rsidR="00044AE4">
        <w:rPr>
          <w:sz w:val="24"/>
          <w:szCs w:val="24"/>
        </w:rPr>
        <w:t xml:space="preserve"> </w:t>
      </w:r>
      <w:r w:rsidRPr="003B19F9">
        <w:rPr>
          <w:sz w:val="24"/>
          <w:szCs w:val="24"/>
        </w:rPr>
        <w:t>infants</w:t>
      </w:r>
      <w:r>
        <w:rPr>
          <w:sz w:val="24"/>
          <w:szCs w:val="24"/>
        </w:rPr>
        <w:t xml:space="preserve">, </w:t>
      </w:r>
      <w:r w:rsidR="00044AE4">
        <w:rPr>
          <w:sz w:val="24"/>
          <w:szCs w:val="24"/>
        </w:rPr>
        <w:t>students, military</w:t>
      </w:r>
      <w:r w:rsidRPr="003B19F9">
        <w:rPr>
          <w:sz w:val="24"/>
          <w:szCs w:val="24"/>
        </w:rPr>
        <w:br/>
      </w:r>
    </w:p>
    <w:p w:rsidR="003B19F9" w:rsidRPr="003B19F9" w:rsidRDefault="003B19F9" w:rsidP="00044AE4">
      <w:pPr>
        <w:spacing w:after="0" w:line="240" w:lineRule="auto"/>
        <w:rPr>
          <w:rStyle w:val="Heading2Char"/>
        </w:rPr>
      </w:pPr>
      <w:r w:rsidRPr="003B19F9">
        <w:rPr>
          <w:rStyle w:val="Heading2Char"/>
        </w:rPr>
        <w:t>Important note</w:t>
      </w:r>
    </w:p>
    <w:p w:rsidR="003B19F9" w:rsidRPr="003B19F9" w:rsidRDefault="003B19F9" w:rsidP="003B19F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All our </w:t>
      </w:r>
      <w:r w:rsidRPr="003B19F9">
        <w:rPr>
          <w:sz w:val="24"/>
          <w:szCs w:val="24"/>
        </w:rPr>
        <w:t xml:space="preserve">service fees </w:t>
      </w:r>
      <w:r>
        <w:rPr>
          <w:sz w:val="24"/>
          <w:szCs w:val="24"/>
        </w:rPr>
        <w:t xml:space="preserve">transactions </w:t>
      </w:r>
      <w:r w:rsidRPr="003B19F9">
        <w:rPr>
          <w:sz w:val="24"/>
          <w:szCs w:val="24"/>
        </w:rPr>
        <w:t>are non-refundable</w:t>
      </w:r>
      <w:r>
        <w:rPr>
          <w:sz w:val="24"/>
          <w:szCs w:val="24"/>
        </w:rPr>
        <w:t>. We are authorized to make changes in our service fees and charges without prior notice</w:t>
      </w:r>
      <w:r w:rsidRPr="003B19F9">
        <w:rPr>
          <w:sz w:val="24"/>
          <w:szCs w:val="24"/>
        </w:rPr>
        <w:t xml:space="preserve">. </w:t>
      </w:r>
      <w:r w:rsidR="009575DE">
        <w:rPr>
          <w:sz w:val="24"/>
          <w:szCs w:val="24"/>
        </w:rPr>
        <w:t>T</w:t>
      </w:r>
      <w:r w:rsidRPr="003B19F9">
        <w:rPr>
          <w:sz w:val="24"/>
          <w:szCs w:val="24"/>
        </w:rPr>
        <w:t xml:space="preserve">axes and fees </w:t>
      </w:r>
      <w:r w:rsidR="009575DE">
        <w:rPr>
          <w:sz w:val="24"/>
          <w:szCs w:val="24"/>
        </w:rPr>
        <w:t xml:space="preserve">imposed by the U.S. government </w:t>
      </w:r>
      <w:r w:rsidRPr="003B19F9">
        <w:rPr>
          <w:sz w:val="24"/>
          <w:szCs w:val="24"/>
        </w:rPr>
        <w:t xml:space="preserve">are </w:t>
      </w:r>
      <w:r w:rsidR="009575DE">
        <w:rPr>
          <w:sz w:val="24"/>
          <w:szCs w:val="24"/>
        </w:rPr>
        <w:t xml:space="preserve">also </w:t>
      </w:r>
      <w:r w:rsidRPr="003B19F9">
        <w:rPr>
          <w:sz w:val="24"/>
          <w:szCs w:val="24"/>
        </w:rPr>
        <w:t xml:space="preserve">subject to change. </w:t>
      </w:r>
      <w:r w:rsidR="009575DE">
        <w:rPr>
          <w:sz w:val="24"/>
          <w:szCs w:val="24"/>
        </w:rPr>
        <w:t>We only charge you the final total payment as displayed</w:t>
      </w:r>
      <w:r w:rsidRPr="003B19F9">
        <w:rPr>
          <w:sz w:val="24"/>
          <w:szCs w:val="24"/>
        </w:rPr>
        <w:t>.</w:t>
      </w:r>
    </w:p>
    <w:p w:rsidR="003B19F9" w:rsidRDefault="009575DE" w:rsidP="003B19F9">
      <w:pPr>
        <w:spacing w:before="100" w:beforeAutospacing="1" w:after="100" w:afterAutospacing="1" w:line="245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There are certain exceptions that may apply to the bookings mentioned above:</w:t>
      </w:r>
    </w:p>
    <w:tbl>
      <w:tblPr>
        <w:tblStyle w:val="LightShading-Accent5"/>
        <w:tblW w:w="0" w:type="auto"/>
        <w:tblLook w:val="04A0"/>
      </w:tblPr>
      <w:tblGrid>
        <w:gridCol w:w="4788"/>
        <w:gridCol w:w="4788"/>
      </w:tblGrid>
      <w:tr w:rsidR="00044AE4" w:rsidTr="00044AE4">
        <w:trPr>
          <w:cnfStyle w:val="100000000000"/>
        </w:trPr>
        <w:tc>
          <w:tcPr>
            <w:cnfStyle w:val="001000000000"/>
            <w:tcW w:w="4788" w:type="dxa"/>
          </w:tcPr>
          <w:p w:rsidR="00044AE4" w:rsidRDefault="00044AE4" w:rsidP="00044AE4">
            <w:pPr>
              <w:spacing w:before="100" w:beforeAutospacing="1" w:after="100" w:afterAutospacing="1" w:line="245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Exceptions</w:t>
            </w:r>
          </w:p>
        </w:tc>
        <w:tc>
          <w:tcPr>
            <w:tcW w:w="4788" w:type="dxa"/>
          </w:tcPr>
          <w:p w:rsidR="00044AE4" w:rsidRDefault="00044AE4" w:rsidP="00044AE4">
            <w:pPr>
              <w:spacing w:before="100" w:beforeAutospacing="1" w:after="100" w:afterAutospacing="1" w:line="245" w:lineRule="atLeast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Service Fees Charges</w:t>
            </w:r>
          </w:p>
        </w:tc>
      </w:tr>
      <w:tr w:rsidR="00044AE4" w:rsidTr="00044AE4">
        <w:trPr>
          <w:cnfStyle w:val="000000100000"/>
        </w:trPr>
        <w:tc>
          <w:tcPr>
            <w:cnfStyle w:val="001000000000"/>
            <w:tcW w:w="4788" w:type="dxa"/>
          </w:tcPr>
          <w:p w:rsidR="00044AE4" w:rsidRDefault="00044AE4" w:rsidP="003B19F9">
            <w:pPr>
              <w:spacing w:before="100" w:beforeAutospacing="1" w:after="100" w:afterAutospacing="1" w:line="245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Service fees for booking online holiday package</w:t>
            </w:r>
          </w:p>
        </w:tc>
        <w:tc>
          <w:tcPr>
            <w:tcW w:w="4788" w:type="dxa"/>
          </w:tcPr>
          <w:p w:rsidR="00044AE4" w:rsidRDefault="00044AE4" w:rsidP="00044AE4">
            <w:pPr>
              <w:spacing w:before="100" w:beforeAutospacing="1" w:after="100" w:afterAutospacing="1" w:line="245" w:lineRule="atLeast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 to $50 / passenger</w:t>
            </w:r>
          </w:p>
        </w:tc>
      </w:tr>
      <w:tr w:rsidR="00044AE4" w:rsidTr="00044AE4">
        <w:tc>
          <w:tcPr>
            <w:cnfStyle w:val="001000000000"/>
            <w:tcW w:w="4788" w:type="dxa"/>
          </w:tcPr>
          <w:p w:rsidR="00044AE4" w:rsidRDefault="00044AE4" w:rsidP="003B19F9">
            <w:pPr>
              <w:spacing w:before="100" w:beforeAutospacing="1" w:after="100" w:afterAutospacing="1" w:line="245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Airfares for first</w:t>
            </w:r>
            <w:r w:rsidR="00E36BC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class and business class</w:t>
            </w:r>
          </w:p>
        </w:tc>
        <w:tc>
          <w:tcPr>
            <w:tcW w:w="4788" w:type="dxa"/>
          </w:tcPr>
          <w:p w:rsidR="00044AE4" w:rsidRDefault="00044AE4" w:rsidP="00044AE4">
            <w:pPr>
              <w:spacing w:before="100" w:beforeAutospacing="1" w:after="100" w:afterAutospacing="1" w:line="245" w:lineRule="atLeast"/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 to $150/ passenger</w:t>
            </w:r>
          </w:p>
        </w:tc>
      </w:tr>
      <w:tr w:rsidR="00044AE4" w:rsidTr="00044AE4">
        <w:trPr>
          <w:cnfStyle w:val="000000100000"/>
        </w:trPr>
        <w:tc>
          <w:tcPr>
            <w:cnfStyle w:val="001000000000"/>
            <w:tcW w:w="4788" w:type="dxa"/>
          </w:tcPr>
          <w:p w:rsidR="00044AE4" w:rsidRDefault="00044AE4" w:rsidP="003B19F9">
            <w:pPr>
              <w:spacing w:before="100" w:beforeAutospacing="1" w:after="100" w:afterAutospacing="1" w:line="245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Trips to multiple cities</w:t>
            </w:r>
          </w:p>
        </w:tc>
        <w:tc>
          <w:tcPr>
            <w:tcW w:w="4788" w:type="dxa"/>
          </w:tcPr>
          <w:p w:rsidR="00044AE4" w:rsidRDefault="00044AE4" w:rsidP="00044AE4">
            <w:pPr>
              <w:spacing w:before="100" w:beforeAutospacing="1" w:after="100" w:afterAutospacing="1" w:line="245" w:lineRule="atLeast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 to $40/ passenger</w:t>
            </w:r>
          </w:p>
        </w:tc>
      </w:tr>
      <w:tr w:rsidR="00044AE4" w:rsidTr="00044AE4">
        <w:tc>
          <w:tcPr>
            <w:cnfStyle w:val="001000000000"/>
            <w:tcW w:w="4788" w:type="dxa"/>
          </w:tcPr>
          <w:p w:rsidR="00044AE4" w:rsidRDefault="00044AE4" w:rsidP="003B19F9">
            <w:pPr>
              <w:spacing w:before="100" w:beforeAutospacing="1" w:after="100" w:afterAutospacing="1" w:line="245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Trip to cities that have high rate of fraud</w:t>
            </w:r>
          </w:p>
        </w:tc>
        <w:tc>
          <w:tcPr>
            <w:tcW w:w="4788" w:type="dxa"/>
          </w:tcPr>
          <w:p w:rsidR="00044AE4" w:rsidRDefault="00044AE4" w:rsidP="00044AE4">
            <w:pPr>
              <w:spacing w:before="100" w:beforeAutospacing="1" w:after="100" w:afterAutospacing="1" w:line="245" w:lineRule="atLeast"/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 to $55/ passenger</w:t>
            </w:r>
          </w:p>
        </w:tc>
      </w:tr>
      <w:tr w:rsidR="00044AE4" w:rsidTr="00044AE4">
        <w:trPr>
          <w:cnfStyle w:val="000000100000"/>
        </w:trPr>
        <w:tc>
          <w:tcPr>
            <w:cnfStyle w:val="001000000000"/>
            <w:tcW w:w="4788" w:type="dxa"/>
          </w:tcPr>
          <w:p w:rsidR="00044AE4" w:rsidRDefault="00044AE4" w:rsidP="003B19F9">
            <w:pPr>
              <w:spacing w:before="100" w:beforeAutospacing="1" w:after="100" w:afterAutospacing="1" w:line="245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Fees for alternate airport and nearby airport</w:t>
            </w:r>
          </w:p>
        </w:tc>
        <w:tc>
          <w:tcPr>
            <w:tcW w:w="4788" w:type="dxa"/>
          </w:tcPr>
          <w:p w:rsidR="00044AE4" w:rsidRDefault="00044AE4" w:rsidP="00044AE4">
            <w:pPr>
              <w:spacing w:before="100" w:beforeAutospacing="1" w:after="100" w:afterAutospacing="1" w:line="245" w:lineRule="atLeast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 to $100/passenger</w:t>
            </w:r>
          </w:p>
        </w:tc>
      </w:tr>
      <w:tr w:rsidR="00044AE4" w:rsidTr="00044AE4">
        <w:tc>
          <w:tcPr>
            <w:cnfStyle w:val="001000000000"/>
            <w:tcW w:w="4788" w:type="dxa"/>
          </w:tcPr>
          <w:p w:rsidR="00044AE4" w:rsidRDefault="00044AE4" w:rsidP="003B19F9">
            <w:pPr>
              <w:spacing w:before="100" w:beforeAutospacing="1" w:after="100" w:afterAutospacing="1" w:line="245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Fares of Fusions</w:t>
            </w:r>
          </w:p>
        </w:tc>
        <w:tc>
          <w:tcPr>
            <w:tcW w:w="4788" w:type="dxa"/>
          </w:tcPr>
          <w:p w:rsidR="00044AE4" w:rsidRDefault="00044AE4" w:rsidP="00044AE4">
            <w:pPr>
              <w:spacing w:before="100" w:beforeAutospacing="1" w:after="100" w:afterAutospacing="1" w:line="245" w:lineRule="atLeast"/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 to $100 / passenger</w:t>
            </w:r>
          </w:p>
        </w:tc>
      </w:tr>
      <w:tr w:rsidR="00044AE4" w:rsidTr="00044AE4">
        <w:trPr>
          <w:cnfStyle w:val="000000100000"/>
        </w:trPr>
        <w:tc>
          <w:tcPr>
            <w:cnfStyle w:val="001000000000"/>
            <w:tcW w:w="4788" w:type="dxa"/>
          </w:tcPr>
          <w:p w:rsidR="00044AE4" w:rsidRDefault="00044AE4" w:rsidP="003B19F9">
            <w:pPr>
              <w:spacing w:before="100" w:beforeAutospacing="1" w:after="100" w:afterAutospacing="1" w:line="245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Unaccompanied minor tickets fees</w:t>
            </w:r>
          </w:p>
        </w:tc>
        <w:tc>
          <w:tcPr>
            <w:tcW w:w="4788" w:type="dxa"/>
          </w:tcPr>
          <w:p w:rsidR="00044AE4" w:rsidRDefault="00044AE4" w:rsidP="00044AE4">
            <w:pPr>
              <w:spacing w:before="100" w:beforeAutospacing="1" w:after="100" w:afterAutospacing="1" w:line="245" w:lineRule="atLeast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 to $100/ passenger</w:t>
            </w:r>
          </w:p>
        </w:tc>
      </w:tr>
    </w:tbl>
    <w:p w:rsidR="009575DE" w:rsidRPr="003B19F9" w:rsidRDefault="009575DE" w:rsidP="003B19F9">
      <w:pPr>
        <w:spacing w:before="100" w:beforeAutospacing="1" w:after="100" w:afterAutospacing="1" w:line="245" w:lineRule="atLeast"/>
        <w:jc w:val="both"/>
        <w:rPr>
          <w:sz w:val="24"/>
          <w:szCs w:val="24"/>
        </w:rPr>
      </w:pPr>
    </w:p>
    <w:p w:rsidR="009575DE" w:rsidRPr="009575DE" w:rsidRDefault="00044AE4" w:rsidP="009575DE">
      <w:pPr>
        <w:pStyle w:val="Heading2"/>
      </w:pPr>
      <w:r>
        <w:t xml:space="preserve">Fees for </w:t>
      </w:r>
      <w:r w:rsidR="009575DE">
        <w:t>Service of</w:t>
      </w:r>
      <w:r w:rsidR="003B19F9" w:rsidRPr="009575DE">
        <w:t xml:space="preserve"> Cont</w:t>
      </w:r>
      <w:r w:rsidR="009575DE">
        <w:t xml:space="preserve">act Center booking </w:t>
      </w:r>
    </w:p>
    <w:p w:rsidR="003B19F9" w:rsidRPr="003B19F9" w:rsidRDefault="003B19F9" w:rsidP="009575DE">
      <w:pPr>
        <w:spacing w:after="0" w:line="245" w:lineRule="atLeast"/>
        <w:jc w:val="center"/>
        <w:rPr>
          <w:sz w:val="24"/>
          <w:szCs w:val="24"/>
        </w:rPr>
      </w:pPr>
      <w:r w:rsidRPr="003B19F9">
        <w:rPr>
          <w:sz w:val="24"/>
          <w:szCs w:val="24"/>
        </w:rPr>
        <w:t xml:space="preserve"> </w:t>
      </w:r>
      <w:r w:rsidR="009575DE">
        <w:rPr>
          <w:sz w:val="24"/>
          <w:szCs w:val="24"/>
        </w:rPr>
        <w:t xml:space="preserve">Fees for service of our contact center booking </w:t>
      </w:r>
      <w:r w:rsidRPr="003B19F9">
        <w:rPr>
          <w:sz w:val="24"/>
          <w:szCs w:val="24"/>
        </w:rPr>
        <w:t xml:space="preserve">may be </w:t>
      </w:r>
      <w:r w:rsidR="009575DE">
        <w:rPr>
          <w:sz w:val="24"/>
          <w:szCs w:val="24"/>
        </w:rPr>
        <w:t xml:space="preserve">bit </w:t>
      </w:r>
      <w:r w:rsidRPr="003B19F9">
        <w:rPr>
          <w:sz w:val="24"/>
          <w:szCs w:val="24"/>
        </w:rPr>
        <w:t xml:space="preserve">higher than </w:t>
      </w:r>
      <w:r w:rsidR="009575DE">
        <w:rPr>
          <w:sz w:val="24"/>
          <w:szCs w:val="24"/>
        </w:rPr>
        <w:t>the online booking fees that can be</w:t>
      </w:r>
      <w:r w:rsidRPr="003B19F9">
        <w:rPr>
          <w:sz w:val="24"/>
          <w:szCs w:val="24"/>
        </w:rPr>
        <w:t xml:space="preserve"> from </w:t>
      </w:r>
      <w:r w:rsidR="009575DE">
        <w:rPr>
          <w:sz w:val="24"/>
          <w:szCs w:val="24"/>
        </w:rPr>
        <w:t xml:space="preserve">anywhere between </w:t>
      </w:r>
      <w:r w:rsidRPr="003B19F9">
        <w:rPr>
          <w:sz w:val="24"/>
          <w:szCs w:val="24"/>
        </w:rPr>
        <w:t xml:space="preserve">$10 </w:t>
      </w:r>
      <w:r w:rsidR="00470348">
        <w:rPr>
          <w:sz w:val="24"/>
          <w:szCs w:val="24"/>
        </w:rPr>
        <w:t>and</w:t>
      </w:r>
      <w:r w:rsidRPr="003B19F9">
        <w:rPr>
          <w:sz w:val="24"/>
          <w:szCs w:val="24"/>
        </w:rPr>
        <w:t xml:space="preserve"> $200 per passenger (</w:t>
      </w:r>
      <w:r w:rsidR="009575DE">
        <w:rPr>
          <w:sz w:val="24"/>
          <w:szCs w:val="24"/>
        </w:rPr>
        <w:t>for senior citizens it can be up to $100</w:t>
      </w:r>
      <w:r w:rsidRPr="003B19F9">
        <w:rPr>
          <w:sz w:val="24"/>
          <w:szCs w:val="24"/>
        </w:rPr>
        <w:t>). Contact Center bookings include premium package benefits. </w:t>
      </w:r>
      <w:r w:rsidRPr="003B19F9">
        <w:rPr>
          <w:sz w:val="24"/>
          <w:szCs w:val="24"/>
        </w:rPr>
        <w:br/>
      </w:r>
      <w:r w:rsidRPr="003B19F9">
        <w:rPr>
          <w:sz w:val="24"/>
          <w:szCs w:val="24"/>
        </w:rPr>
        <w:br/>
      </w:r>
      <w:r w:rsidR="009575DE">
        <w:rPr>
          <w:sz w:val="24"/>
          <w:szCs w:val="24"/>
        </w:rPr>
        <w:t>To know more about our booking terms and conditions kindly read our ‘Terms and Conditions’</w:t>
      </w:r>
    </w:p>
    <w:p w:rsidR="003B19F9" w:rsidRPr="003B19F9" w:rsidRDefault="003B19F9" w:rsidP="00EB7F99">
      <w:pPr>
        <w:tabs>
          <w:tab w:val="left" w:pos="1046"/>
        </w:tabs>
        <w:rPr>
          <w:sz w:val="24"/>
          <w:szCs w:val="24"/>
        </w:rPr>
      </w:pPr>
    </w:p>
    <w:sectPr w:rsidR="003B19F9" w:rsidRPr="003B19F9" w:rsidSect="002708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2A1B"/>
    <w:multiLevelType w:val="hybridMultilevel"/>
    <w:tmpl w:val="6C12742A"/>
    <w:lvl w:ilvl="0" w:tplc="4FAE4D00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006767"/>
    <w:multiLevelType w:val="hybridMultilevel"/>
    <w:tmpl w:val="2F94C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ysDAxNjI2tDQ2MzEwNzdX0lEKTi0uzszPAykwrAUABsoG4iwAAAA="/>
  </w:docVars>
  <w:rsids>
    <w:rsidRoot w:val="00E37595"/>
    <w:rsid w:val="00044AE4"/>
    <w:rsid w:val="00270864"/>
    <w:rsid w:val="003B19F9"/>
    <w:rsid w:val="00470348"/>
    <w:rsid w:val="007344AE"/>
    <w:rsid w:val="008D7422"/>
    <w:rsid w:val="009575DE"/>
    <w:rsid w:val="00C80478"/>
    <w:rsid w:val="00E36BCC"/>
    <w:rsid w:val="00E37595"/>
    <w:rsid w:val="00EB7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864"/>
  </w:style>
  <w:style w:type="paragraph" w:styleId="Heading1">
    <w:name w:val="heading 1"/>
    <w:basedOn w:val="Normal"/>
    <w:next w:val="Normal"/>
    <w:link w:val="Heading1Char"/>
    <w:uiPriority w:val="9"/>
    <w:qFormat/>
    <w:rsid w:val="00EB7F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19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375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375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EB7F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B7F99"/>
    <w:pPr>
      <w:ind w:left="720"/>
      <w:contextualSpacing/>
    </w:pPr>
  </w:style>
  <w:style w:type="table" w:styleId="TableGrid">
    <w:name w:val="Table Grid"/>
    <w:basedOn w:val="TableNormal"/>
    <w:uiPriority w:val="59"/>
    <w:rsid w:val="00EB7F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cimalAligned">
    <w:name w:val="Decimal Aligned"/>
    <w:basedOn w:val="Normal"/>
    <w:uiPriority w:val="40"/>
    <w:qFormat/>
    <w:rsid w:val="003B19F9"/>
    <w:pPr>
      <w:tabs>
        <w:tab w:val="decimal" w:pos="360"/>
      </w:tabs>
    </w:pPr>
    <w:rPr>
      <w:rFonts w:eastAsiaTheme="minorEastAsia"/>
    </w:rPr>
  </w:style>
  <w:style w:type="paragraph" w:styleId="FootnoteText">
    <w:name w:val="footnote text"/>
    <w:basedOn w:val="Normal"/>
    <w:link w:val="FootnoteTextChar"/>
    <w:uiPriority w:val="99"/>
    <w:unhideWhenUsed/>
    <w:rsid w:val="003B19F9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B19F9"/>
    <w:rPr>
      <w:rFonts w:eastAsiaTheme="minorEastAsia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3B19F9"/>
    <w:rPr>
      <w:rFonts w:eastAsiaTheme="minorEastAsia" w:cstheme="minorBidi"/>
      <w:bCs w:val="0"/>
      <w:i/>
      <w:iCs/>
      <w:color w:val="808080" w:themeColor="text1" w:themeTint="7F"/>
      <w:szCs w:val="22"/>
      <w:lang w:val="en-US"/>
    </w:rPr>
  </w:style>
  <w:style w:type="table" w:styleId="LightShading-Accent1">
    <w:name w:val="Light Shading Accent 1"/>
    <w:basedOn w:val="TableNormal"/>
    <w:uiPriority w:val="60"/>
    <w:rsid w:val="003B19F9"/>
    <w:pPr>
      <w:spacing w:after="0" w:line="240" w:lineRule="auto"/>
    </w:pPr>
    <w:rPr>
      <w:rFonts w:eastAsiaTheme="minorEastAsia"/>
      <w:color w:val="365F91" w:themeColor="accent1" w:themeShade="BF"/>
      <w:lang w:bidi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5">
    <w:name w:val="Light Shading Accent 5"/>
    <w:basedOn w:val="TableNormal"/>
    <w:uiPriority w:val="60"/>
    <w:rsid w:val="003B19F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ormalWeb">
    <w:name w:val="Normal (Web)"/>
    <w:basedOn w:val="Normal"/>
    <w:uiPriority w:val="99"/>
    <w:semiHidden/>
    <w:unhideWhenUsed/>
    <w:rsid w:val="003B1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B19F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B19F9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B19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0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Ayesha Atif</dc:creator>
  <cp:lastModifiedBy>GW</cp:lastModifiedBy>
  <cp:revision>8</cp:revision>
  <dcterms:created xsi:type="dcterms:W3CDTF">2019-07-24T07:00:00Z</dcterms:created>
  <dcterms:modified xsi:type="dcterms:W3CDTF">2019-07-24T08:59:00Z</dcterms:modified>
</cp:coreProperties>
</file>